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7D7E" w14:textId="77777777" w:rsidR="00CA48B8" w:rsidRDefault="00CA48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  <w:highlight w:val="white"/>
        </w:rPr>
      </w:pPr>
    </w:p>
    <w:tbl>
      <w:tblPr>
        <w:tblStyle w:val="a"/>
        <w:tblW w:w="10065" w:type="dxa"/>
        <w:tblInd w:w="-10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8430"/>
      </w:tblGrid>
      <w:tr w:rsidR="00CA48B8" w14:paraId="6733F778" w14:textId="77777777">
        <w:trPr>
          <w:trHeight w:val="1385"/>
        </w:trPr>
        <w:tc>
          <w:tcPr>
            <w:tcW w:w="1635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72A62" w14:textId="77777777" w:rsidR="00CA48B8" w:rsidRDefault="007908D1">
            <w:pPr>
              <w:widowControl w:val="0"/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  <w:t>Definition of reserve</w:t>
            </w:r>
          </w:p>
        </w:tc>
        <w:tc>
          <w:tcPr>
            <w:tcW w:w="8430" w:type="dxa"/>
            <w:tcBorders>
              <w:top w:val="single" w:sz="12" w:space="0" w:color="00B0F0"/>
              <w:left w:val="single" w:sz="8" w:space="0" w:color="FFFFFF"/>
              <w:bottom w:val="single" w:sz="12" w:space="0" w:color="00B0F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1C2BF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A sum of money held in our bank account that is not used for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day to day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spending. </w:t>
            </w:r>
          </w:p>
          <w:p w14:paraId="3AE90EBA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This money is ringfenced to cover:</w:t>
            </w:r>
          </w:p>
          <w:p w14:paraId="19E6BA48" w14:textId="77777777" w:rsidR="00CA48B8" w:rsidRDefault="007908D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white"/>
              </w:rPr>
              <w:t xml:space="preserve">Operating reserves: 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if income drops or ceases unexpectedly.</w:t>
            </w:r>
          </w:p>
          <w:p w14:paraId="43852549" w14:textId="77777777" w:rsidR="00CA48B8" w:rsidRDefault="007908D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white"/>
              </w:rPr>
              <w:t xml:space="preserve">Capital projects: 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planned refurbishment of large assets (&gt;£1000 value), or installation of new assets. </w:t>
            </w:r>
          </w:p>
          <w:p w14:paraId="65F44625" w14:textId="77777777" w:rsidR="00CA48B8" w:rsidRDefault="007908D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white"/>
              </w:rPr>
              <w:t>Emergency repairs: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for example, if part of the hall is damaged. </w:t>
            </w:r>
          </w:p>
        </w:tc>
      </w:tr>
      <w:tr w:rsidR="00CA48B8" w14:paraId="5F704066" w14:textId="77777777">
        <w:trPr>
          <w:trHeight w:val="1385"/>
        </w:trPr>
        <w:tc>
          <w:tcPr>
            <w:tcW w:w="1635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9A45D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  <w:t>Calculating target reserve</w:t>
            </w:r>
          </w:p>
        </w:tc>
        <w:tc>
          <w:tcPr>
            <w:tcW w:w="8430" w:type="dxa"/>
            <w:tcBorders>
              <w:top w:val="single" w:sz="12" w:space="0" w:color="00B0F0"/>
              <w:left w:val="single" w:sz="8" w:space="0" w:color="FFFFFF"/>
              <w:bottom w:val="single" w:sz="12" w:space="0" w:color="00B0F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6199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The amount to be held in the reserve will be the sum of the following:</w:t>
            </w:r>
          </w:p>
          <w:tbl>
            <w:tblPr>
              <w:tblStyle w:val="a0"/>
              <w:tblW w:w="823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115"/>
              <w:gridCol w:w="4115"/>
            </w:tblGrid>
            <w:tr w:rsidR="00CA48B8" w14:paraId="735FAA78" w14:textId="77777777">
              <w:tc>
                <w:tcPr>
                  <w:tcW w:w="4115" w:type="dxa"/>
                  <w:shd w:val="clear" w:color="auto" w:fill="C9DAF8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1493EDF2" w14:textId="77777777" w:rsidR="00CA48B8" w:rsidRDefault="007908D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4115" w:type="dxa"/>
                  <w:shd w:val="clear" w:color="auto" w:fill="C9DAF8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0A1C1BB5" w14:textId="77777777" w:rsidR="00CA48B8" w:rsidRDefault="007908D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Comments</w:t>
                  </w:r>
                </w:p>
              </w:tc>
            </w:tr>
            <w:tr w:rsidR="00CA48B8" w14:paraId="3334F50F" w14:textId="77777777"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381BB4E1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Forecast fixed costs for current financial year.</w:t>
                  </w:r>
                </w:p>
              </w:tc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19F6FC2C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These are costs that we would pay even if we had no hirers. For example, insurance and utilities.</w:t>
                  </w:r>
                </w:p>
              </w:tc>
            </w:tr>
            <w:tr w:rsidR="00CA48B8" w14:paraId="016E67DB" w14:textId="77777777"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11AA0875" w14:textId="77777777" w:rsidR="00CA48B8" w:rsidRDefault="007908D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Total cost to replace all items on the asset health assessment that are:</w:t>
                  </w:r>
                </w:p>
                <w:p w14:paraId="43133956" w14:textId="77777777" w:rsidR="00CA48B8" w:rsidRDefault="007908D1">
                  <w:pPr>
                    <w:widowControl w:val="0"/>
                    <w:numPr>
                      <w:ilvl w:val="0"/>
                      <w:numId w:val="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Beyond design lifespan</w:t>
                  </w:r>
                </w:p>
                <w:p w14:paraId="538B60FF" w14:textId="77777777" w:rsidR="00CA48B8" w:rsidRDefault="007908D1">
                  <w:pPr>
                    <w:widowControl w:val="0"/>
                    <w:numPr>
                      <w:ilvl w:val="0"/>
                      <w:numId w:val="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In poor condition</w:t>
                  </w:r>
                </w:p>
                <w:p w14:paraId="2514FECA" w14:textId="77777777" w:rsidR="00CA48B8" w:rsidRDefault="007908D1">
                  <w:pPr>
                    <w:widowControl w:val="0"/>
                    <w:numPr>
                      <w:ilvl w:val="0"/>
                      <w:numId w:val="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Due for replacement in next 5 years</w:t>
                  </w:r>
                </w:p>
              </w:tc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317F514B" w14:textId="77777777" w:rsidR="00CA48B8" w:rsidRDefault="007908D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 xml:space="preserve">This is based on the estimated cost of replacement for each </w:t>
                  </w: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item, and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 xml:space="preserve"> assumes no grant income. </w:t>
                  </w:r>
                </w:p>
                <w:p w14:paraId="7C5E6FC7" w14:textId="77777777" w:rsidR="00CA48B8" w:rsidRDefault="00CA48B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</w:p>
                <w:p w14:paraId="4DF314B6" w14:textId="77777777" w:rsidR="00CA48B8" w:rsidRDefault="007908D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 xml:space="preserve">If a grant is awarded the target reserve is reduced by this amount. </w:t>
                  </w:r>
                </w:p>
              </w:tc>
            </w:tr>
            <w:tr w:rsidR="00CA48B8" w14:paraId="25DBED6E" w14:textId="77777777"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0392F8F4" w14:textId="77777777" w:rsidR="00CA48B8" w:rsidRDefault="007908D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The cost of any planned improvement projects</w:t>
                  </w:r>
                </w:p>
              </w:tc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38656B8E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 xml:space="preserve">This may be the matched funding amount if a grant is awarded. </w:t>
                  </w:r>
                </w:p>
              </w:tc>
            </w:tr>
            <w:tr w:rsidR="00CA48B8" w14:paraId="1FD53669" w14:textId="77777777"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01304A17" w14:textId="77777777" w:rsidR="00CA48B8" w:rsidRDefault="007908D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Emergency repairs flat rate.</w:t>
                  </w:r>
                </w:p>
              </w:tc>
              <w:tc>
                <w:tcPr>
                  <w:tcW w:w="411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3496FF84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Insurance excess</w:t>
                  </w:r>
                </w:p>
              </w:tc>
            </w:tr>
          </w:tbl>
          <w:p w14:paraId="519515C0" w14:textId="77777777" w:rsidR="00CA48B8" w:rsidRDefault="00CA48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"/>
                <w:szCs w:val="2"/>
                <w:highlight w:val="white"/>
              </w:rPr>
            </w:pPr>
          </w:p>
        </w:tc>
      </w:tr>
      <w:tr w:rsidR="00CA48B8" w14:paraId="31CE21EA" w14:textId="77777777">
        <w:trPr>
          <w:trHeight w:val="3144"/>
        </w:trPr>
        <w:tc>
          <w:tcPr>
            <w:tcW w:w="1635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382E3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  <w:t>Target reserve 2025/26</w:t>
            </w:r>
          </w:p>
        </w:tc>
        <w:tc>
          <w:tcPr>
            <w:tcW w:w="8430" w:type="dxa"/>
            <w:tcBorders>
              <w:top w:val="single" w:sz="12" w:space="0" w:color="00B0F0"/>
              <w:left w:val="single" w:sz="8" w:space="0" w:color="FFFFFF"/>
              <w:bottom w:val="single" w:sz="12" w:space="0" w:color="00B0F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125A4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For financial year 1st June 2025 - 31st May 2026 the target reserve is:</w:t>
            </w:r>
          </w:p>
          <w:tbl>
            <w:tblPr>
              <w:tblStyle w:val="a1"/>
              <w:tblW w:w="819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525"/>
              <w:gridCol w:w="1665"/>
            </w:tblGrid>
            <w:tr w:rsidR="00CA48B8" w14:paraId="21EFD31C" w14:textId="77777777">
              <w:trPr>
                <w:trHeight w:val="387"/>
              </w:trPr>
              <w:tc>
                <w:tcPr>
                  <w:tcW w:w="6525" w:type="dxa"/>
                  <w:shd w:val="clear" w:color="auto" w:fill="C9DAF8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252DE311" w14:textId="77777777" w:rsidR="00CA48B8" w:rsidRDefault="007908D1">
                  <w:pPr>
                    <w:widowControl w:val="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1665" w:type="dxa"/>
                  <w:shd w:val="clear" w:color="auto" w:fill="C9DAF8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6C6CB886" w14:textId="77777777" w:rsidR="00CA48B8" w:rsidRDefault="007908D1">
                  <w:pPr>
                    <w:widowControl w:val="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Total</w:t>
                  </w:r>
                </w:p>
              </w:tc>
            </w:tr>
            <w:tr w:rsidR="00CA48B8" w14:paraId="46EE1027" w14:textId="77777777">
              <w:trPr>
                <w:trHeight w:val="170"/>
              </w:trPr>
              <w:tc>
                <w:tcPr>
                  <w:tcW w:w="652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08829857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Total forecast fixed costs for 2025/26.</w:t>
                  </w:r>
                </w:p>
              </w:tc>
              <w:tc>
                <w:tcPr>
                  <w:tcW w:w="166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151AF9CE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£12,850</w:t>
                  </w:r>
                </w:p>
              </w:tc>
            </w:tr>
            <w:tr w:rsidR="00CA48B8" w14:paraId="7AA6D816" w14:textId="77777777">
              <w:tc>
                <w:tcPr>
                  <w:tcW w:w="652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35EE8A7A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 xml:space="preserve">Total cost to replace all items on the asset health assessment that meet above criteria. </w:t>
                  </w:r>
                </w:p>
              </w:tc>
              <w:tc>
                <w:tcPr>
                  <w:tcW w:w="166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1B4329CA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£20,000</w:t>
                  </w:r>
                </w:p>
              </w:tc>
            </w:tr>
            <w:tr w:rsidR="00CA48B8" w14:paraId="4726313B" w14:textId="77777777">
              <w:tc>
                <w:tcPr>
                  <w:tcW w:w="652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6DBCBC8D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The cost of any planned improvement projects.</w:t>
                  </w:r>
                </w:p>
              </w:tc>
              <w:tc>
                <w:tcPr>
                  <w:tcW w:w="166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7C9A5119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£0</w:t>
                  </w:r>
                </w:p>
              </w:tc>
            </w:tr>
            <w:tr w:rsidR="00CA48B8" w14:paraId="40A3384D" w14:textId="77777777">
              <w:tc>
                <w:tcPr>
                  <w:tcW w:w="652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1F3B75BC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Emergency repairs flat rate</w:t>
                  </w:r>
                </w:p>
              </w:tc>
              <w:tc>
                <w:tcPr>
                  <w:tcW w:w="166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472063D8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  <w:highlight w:val="white"/>
                    </w:rPr>
                    <w:t>£10,000</w:t>
                  </w:r>
                </w:p>
              </w:tc>
            </w:tr>
            <w:tr w:rsidR="00CA48B8" w14:paraId="54357879" w14:textId="77777777">
              <w:tc>
                <w:tcPr>
                  <w:tcW w:w="652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50B3ABDA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highlight w:val="white"/>
                    </w:rPr>
                    <w:t>Total</w:t>
                  </w:r>
                </w:p>
              </w:tc>
              <w:tc>
                <w:tcPr>
                  <w:tcW w:w="1665" w:type="dxa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</w:tcPr>
                <w:p w14:paraId="17D4A7C9" w14:textId="77777777" w:rsidR="00CA48B8" w:rsidRDefault="007908D1">
                  <w:pPr>
                    <w:widowControl w:val="0"/>
                    <w:jc w:val="both"/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highlight w:val="white"/>
                    </w:rPr>
                    <w:t>£42,850</w:t>
                  </w:r>
                </w:p>
              </w:tc>
            </w:tr>
          </w:tbl>
          <w:p w14:paraId="225BAB7A" w14:textId="77777777" w:rsidR="00CA48B8" w:rsidRDefault="00CA48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"/>
                <w:szCs w:val="2"/>
                <w:highlight w:val="white"/>
              </w:rPr>
            </w:pPr>
          </w:p>
        </w:tc>
      </w:tr>
      <w:tr w:rsidR="00CA48B8" w14:paraId="2921F0FE" w14:textId="77777777">
        <w:trPr>
          <w:trHeight w:val="1385"/>
        </w:trPr>
        <w:tc>
          <w:tcPr>
            <w:tcW w:w="1635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7E97F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  <w:t>Review and reporting</w:t>
            </w:r>
          </w:p>
        </w:tc>
        <w:tc>
          <w:tcPr>
            <w:tcW w:w="8430" w:type="dxa"/>
            <w:tcBorders>
              <w:top w:val="single" w:sz="12" w:space="0" w:color="00B0F0"/>
              <w:left w:val="single" w:sz="8" w:space="0" w:color="FFFFFF"/>
              <w:bottom w:val="single" w:sz="12" w:space="0" w:color="00B0F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57EAA" w14:textId="77777777" w:rsidR="00CA48B8" w:rsidRDefault="007908D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The </w:t>
            </w:r>
            <w:r>
              <w:rPr>
                <w:rFonts w:ascii="Arial" w:eastAsia="Arial" w:hAnsi="Arial" w:cs="Arial"/>
                <w:b/>
                <w:bCs/>
                <w:color w:val="1155CC"/>
                <w:sz w:val="20"/>
                <w:szCs w:val="20"/>
                <w:highlight w:val="white"/>
              </w:rPr>
              <w:t>Treasurer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is responsible for monitoring the reserve and must check the total each month. If the reserve is below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target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they must inform the Trustees immediately. </w:t>
            </w:r>
          </w:p>
          <w:p w14:paraId="3398E4D9" w14:textId="77777777" w:rsidR="00CA48B8" w:rsidRDefault="007908D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The </w:t>
            </w:r>
            <w:r>
              <w:rPr>
                <w:rFonts w:ascii="Arial" w:eastAsia="Arial" w:hAnsi="Arial" w:cs="Arial"/>
                <w:b/>
                <w:bCs/>
                <w:color w:val="1155CC"/>
                <w:sz w:val="20"/>
                <w:szCs w:val="20"/>
                <w:highlight w:val="white"/>
              </w:rPr>
              <w:t xml:space="preserve">Treasurer 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will report to the Trustees the current reserve once a quarter.</w:t>
            </w:r>
          </w:p>
          <w:p w14:paraId="0B902F4E" w14:textId="77777777" w:rsidR="00CA48B8" w:rsidRDefault="007908D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The target and current reserve will be published in the annual report.  </w:t>
            </w:r>
          </w:p>
          <w:p w14:paraId="3573737A" w14:textId="77777777" w:rsidR="00CA48B8" w:rsidRDefault="007908D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This policy and the target reserve will be reviewed annually as part of the budget setting process. Next review due by </w:t>
            </w:r>
            <w:r>
              <w:rPr>
                <w:rFonts w:ascii="Arial" w:eastAsia="Arial" w:hAnsi="Arial" w:cs="Arial"/>
                <w:b/>
                <w:bCs/>
                <w:color w:val="1155CC"/>
                <w:sz w:val="20"/>
                <w:szCs w:val="20"/>
                <w:highlight w:val="white"/>
              </w:rPr>
              <w:t>31st May 2026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.</w:t>
            </w:r>
          </w:p>
        </w:tc>
      </w:tr>
      <w:tr w:rsidR="00CA48B8" w14:paraId="1C4D59A6" w14:textId="77777777">
        <w:trPr>
          <w:trHeight w:val="759"/>
        </w:trPr>
        <w:tc>
          <w:tcPr>
            <w:tcW w:w="1635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FE04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highlight w:val="white"/>
              </w:rPr>
              <w:t>Regulatory guidance</w:t>
            </w:r>
          </w:p>
        </w:tc>
        <w:tc>
          <w:tcPr>
            <w:tcW w:w="8430" w:type="dxa"/>
            <w:tcBorders>
              <w:top w:val="single" w:sz="12" w:space="0" w:color="00B0F0"/>
              <w:left w:val="single" w:sz="8" w:space="0" w:color="FFFFFF"/>
              <w:bottom w:val="single" w:sz="12" w:space="0" w:color="00B0F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BACB4" w14:textId="77777777" w:rsidR="00CA48B8" w:rsidRDefault="0079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This policy has been written in line with guidance from the </w:t>
            </w:r>
            <w:hyperlink r:id="rId7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Charity Commission</w:t>
              </w:r>
            </w:hyperlink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.</w:t>
            </w:r>
          </w:p>
        </w:tc>
      </w:tr>
    </w:tbl>
    <w:p w14:paraId="5E74EA47" w14:textId="77777777" w:rsidR="00CA48B8" w:rsidRDefault="00CA48B8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sz w:val="20"/>
          <w:szCs w:val="20"/>
          <w:highlight w:val="white"/>
        </w:rPr>
      </w:pPr>
    </w:p>
    <w:sectPr w:rsidR="00CA48B8">
      <w:headerReference w:type="default" r:id="rId8"/>
      <w:footerReference w:type="default" r:id="rId9"/>
      <w:headerReference w:type="first" r:id="rId10"/>
      <w:pgSz w:w="11906" w:h="16838"/>
      <w:pgMar w:top="1440" w:right="1800" w:bottom="1440" w:left="1800" w:header="70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491E1" w14:textId="77777777" w:rsidR="007908D1" w:rsidRDefault="007908D1">
      <w:r>
        <w:separator/>
      </w:r>
    </w:p>
  </w:endnote>
  <w:endnote w:type="continuationSeparator" w:id="0">
    <w:p w14:paraId="635DEBFA" w14:textId="77777777" w:rsidR="007908D1" w:rsidRDefault="00790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22B64CC-14A9-4C6B-9C2D-04CAD052B2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825F4B4-6245-4809-86B4-DD041CBF94A7}"/>
    <w:embedBold r:id="rId3" w:fontKey="{AD656E1C-F891-42BA-981B-419919D2DA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D4BE76B-4D8A-4CA9-AA3B-25DD123618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879E" w14:textId="77777777" w:rsidR="00CA48B8" w:rsidRDefault="007908D1">
    <w:r>
      <w:rPr>
        <w:noProof/>
      </w:rPr>
      <mc:AlternateContent>
        <mc:Choice Requires="wpg">
          <w:drawing>
            <wp:anchor distT="114300" distB="114300" distL="114300" distR="114300" simplePos="0" relativeHeight="251659264" behindDoc="0" locked="0" layoutInCell="1" hidden="0" allowOverlap="1" wp14:anchorId="338ECC95" wp14:editId="084B48FF">
              <wp:simplePos x="0" y="0"/>
              <wp:positionH relativeFrom="column">
                <wp:posOffset>2038350</wp:posOffset>
              </wp:positionH>
              <wp:positionV relativeFrom="paragraph">
                <wp:posOffset>171450</wp:posOffset>
              </wp:positionV>
              <wp:extent cx="2600325" cy="65722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231575" y="1370975"/>
                        <a:ext cx="2581800" cy="64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3C2272" w14:textId="77777777" w:rsidR="00CA48B8" w:rsidRDefault="007908D1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Approved: XX/XX/XX</w:t>
                          </w: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2038350</wp:posOffset>
              </wp:positionH>
              <wp:positionV relativeFrom="paragraph">
                <wp:posOffset>171450</wp:posOffset>
              </wp:positionV>
              <wp:extent cx="2600325" cy="65722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00325" cy="657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ACADB" w14:textId="77777777" w:rsidR="007908D1" w:rsidRDefault="007908D1">
      <w:r>
        <w:separator/>
      </w:r>
    </w:p>
  </w:footnote>
  <w:footnote w:type="continuationSeparator" w:id="0">
    <w:p w14:paraId="4EE9B6F7" w14:textId="77777777" w:rsidR="007908D1" w:rsidRDefault="00790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627F" w14:textId="77777777" w:rsidR="00CA48B8" w:rsidRDefault="007908D1">
    <w:pPr>
      <w:tabs>
        <w:tab w:val="center" w:pos="4153"/>
        <w:tab w:val="right" w:pos="8306"/>
      </w:tabs>
      <w:spacing w:after="200" w:line="276" w:lineRule="auto"/>
      <w:jc w:val="center"/>
      <w:rPr>
        <w:rFonts w:ascii="Calibri" w:eastAsia="Calibri" w:hAnsi="Calibri" w:cs="Calibri"/>
        <w:b/>
        <w:bCs/>
        <w:sz w:val="28"/>
        <w:szCs w:val="28"/>
      </w:rPr>
    </w:pPr>
    <w:r>
      <w:rPr>
        <w:rFonts w:ascii="Arial" w:eastAsia="Arial" w:hAnsi="Arial" w:cs="Arial"/>
        <w:b/>
        <w:bCs/>
        <w:sz w:val="28"/>
        <w:szCs w:val="28"/>
      </w:rPr>
      <w:t xml:space="preserve">           </w:t>
    </w:r>
    <w:r>
      <w:rPr>
        <w:rFonts w:ascii="Arial" w:eastAsia="Arial" w:hAnsi="Arial" w:cs="Arial"/>
        <w:b/>
        <w:bCs/>
        <w:noProof/>
        <w:sz w:val="28"/>
        <w:szCs w:val="28"/>
      </w:rPr>
      <w:drawing>
        <wp:anchor distT="0" distB="0" distL="114300" distR="0" simplePos="0" relativeHeight="251658240" behindDoc="0" locked="0" layoutInCell="1" hidden="0" allowOverlap="1" wp14:anchorId="6C098E44" wp14:editId="45A3AF74">
          <wp:simplePos x="0" y="0"/>
          <wp:positionH relativeFrom="page">
            <wp:posOffset>5638800</wp:posOffset>
          </wp:positionH>
          <wp:positionV relativeFrom="page">
            <wp:posOffset>133392</wp:posOffset>
          </wp:positionV>
          <wp:extent cx="1509713" cy="898514"/>
          <wp:effectExtent l="0" t="0" r="0" b="0"/>
          <wp:wrapSquare wrapText="bothSides" distT="0" distB="0" distL="11430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299" t="-502" r="-299" b="-502"/>
                  <a:stretch>
                    <a:fillRect/>
                  </a:stretch>
                </pic:blipFill>
                <pic:spPr>
                  <a:xfrm>
                    <a:off x="0" y="0"/>
                    <a:ext cx="1509713" cy="8985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bCs/>
        <w:sz w:val="28"/>
        <w:szCs w:val="28"/>
      </w:rPr>
      <w:t>Strategic Financial Reserve Policy</w:t>
    </w:r>
  </w:p>
  <w:p w14:paraId="56897C59" w14:textId="77777777" w:rsidR="00CA48B8" w:rsidRDefault="00CA48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b/>
        <w:bCs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E1063" w14:textId="77777777" w:rsidR="00CA48B8" w:rsidRDefault="00CA48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E85"/>
    <w:multiLevelType w:val="multilevel"/>
    <w:tmpl w:val="9B442F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C6966F2"/>
    <w:multiLevelType w:val="multilevel"/>
    <w:tmpl w:val="1B1077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0E513C"/>
    <w:multiLevelType w:val="multilevel"/>
    <w:tmpl w:val="7AFCACE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045565840">
    <w:abstractNumId w:val="1"/>
  </w:num>
  <w:num w:numId="2" w16cid:durableId="876310994">
    <w:abstractNumId w:val="0"/>
  </w:num>
  <w:num w:numId="3" w16cid:durableId="1530680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8B8"/>
    <w:rsid w:val="007908D1"/>
    <w:rsid w:val="007C714A"/>
    <w:rsid w:val="00CA48B8"/>
    <w:rsid w:val="00EE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029D0"/>
  <w15:docId w15:val="{5D2E5385-F847-414D-A1F0-8383572C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charities-and-reserves-cc19/charities-and-reserv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Marshall</dc:creator>
  <cp:lastModifiedBy>Kate Marshall</cp:lastModifiedBy>
  <cp:revision>2</cp:revision>
  <dcterms:created xsi:type="dcterms:W3CDTF">2026-02-18T15:20:00Z</dcterms:created>
  <dcterms:modified xsi:type="dcterms:W3CDTF">2026-02-18T15:20:00Z</dcterms:modified>
</cp:coreProperties>
</file>